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line="300"/>
      </w:pPr>
      <w:r>
        <w:rPr>
          <w:rFonts w:ascii="Aptos" w:cs="Aptos" w:eastAsia="Aptos" w:hAnsi="Aptos"/>
          <w:sz w:val="24"/>
          <w:szCs w:val="24"/>
        </w:rPr>
        <w:t xml:space="preserve">Sehr geehrte Damen und Herren,</w:t>
      </w:r>
    </w:p>
    <w:p>
      <w:pPr>
        <w:spacing w:after="160" w:line="300"/>
      </w:pPr>
      <w:r>
        <w:rPr>
          <w:rFonts w:ascii="Aptos" w:cs="Aptos" w:eastAsia="Aptos" w:hAnsi="Aptos"/>
          <w:sz w:val="24"/>
          <w:szCs w:val="24"/>
        </w:rPr>
        <w:t xml:space="preserve">mit großer Sorge wende ich mich an Sie wegen des Kabinettsentwurfs zum GKV-Beitragssatzstabilisierungsgesetz (BStabG) und seiner Auswirkungen auf die Heilmittelversorgung.</w:t>
      </w:r>
    </w:p>
    <w:p>
      <w:pPr>
        <w:spacing w:after="160" w:line="300"/>
      </w:pPr>
      <w:r>
        <w:rPr>
          <w:rFonts w:ascii="Aptos" w:cs="Aptos" w:eastAsia="Aptos" w:hAnsi="Aptos"/>
          <w:b/>
          <w:bCs/>
          <w:sz w:val="24"/>
          <w:szCs w:val="24"/>
        </w:rPr>
        <w:t xml:space="preserve">Die Rückbindung der Heilmittelvergütung an die Grundlohnsumme (GLS) ist ein Rückschritt mit gravierenden Folgen.</w:t>
      </w:r>
      <w:r>
        <w:rPr>
          <w:rFonts w:ascii="Aptos" w:cs="Aptos" w:eastAsia="Aptos" w:hAnsi="Aptos"/>
          <w:sz w:val="24"/>
          <w:szCs w:val="24"/>
        </w:rPr>
        <w:t xml:space="preserve"> Mit dem TSVG 2019 wurde die GLS-Bindung bewusst dauerhaft aufgehoben, weil sie die tatsächliche Kostenentwicklung in den Praxen nicht abbildet und über Jahre zu einer massiven Unterfinanzierung geführt hatte.</w:t>
      </w:r>
    </w:p>
    <w:p>
      <w:pPr>
        <w:spacing w:after="160" w:line="300"/>
      </w:pPr>
      <w:r>
        <w:rPr>
          <w:rFonts w:ascii="Aptos" w:cs="Aptos" w:eastAsia="Aptos" w:hAnsi="Aptos"/>
          <w:b/>
          <w:bCs/>
          <w:sz w:val="24"/>
          <w:szCs w:val="24"/>
        </w:rPr>
        <w:t xml:space="preserve">Die GLS ist ein systematisch unpassender Maßstab und wirkt als Deckel.</w:t>
      </w:r>
      <w:r>
        <w:rPr>
          <w:rFonts w:ascii="Aptos" w:cs="Aptos" w:eastAsia="Aptos" w:hAnsi="Aptos"/>
          <w:sz w:val="24"/>
          <w:szCs w:val="24"/>
        </w:rPr>
        <w:t xml:space="preserve"> Sie bildet die tatsächliche Kostenentwicklung der Praxen nicht ab und bleibt strukturell hinter der Inflation zurück. Die letzten Jahre zeigen das deutlich: 2022 lag die Inflation bei 6,9 %, die GLS bei 2,32 %; 2023 bei 5,9 % gegenüber 3,45 %. Die heute höheren GLS-Werte sind nur eine verspätete Reaktion auf den Inflationsschock – und werden 2027 bis 2029 zusätzlich um jeweils 1 % abgesenkt. Entscheidend ist: In künftigen Verhandlungen gilt jeweils der niedrigere Wert aus GLS oder realer Kostenentwicklung. Damit wirkt die GLS erneut als Obergrenze – genau der Mechanismus, der zur strukturellen Unterfinanzierung der Praxen geführt hat.</w:t>
      </w:r>
    </w:p>
    <w:p>
      <w:pPr>
        <w:spacing w:after="160" w:line="300"/>
      </w:pPr>
      <w:r>
        <w:rPr>
          <w:rFonts w:ascii="Aptos" w:cs="Aptos" w:eastAsia="Aptos" w:hAnsi="Aptos"/>
          <w:b/>
          <w:bCs/>
          <w:sz w:val="24"/>
          <w:szCs w:val="24"/>
        </w:rPr>
        <w:t xml:space="preserve">Die Folgen treffen die Versorgung direkt: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rFonts w:ascii="Aptos" w:cs="Aptos" w:eastAsia="Aptos" w:hAnsi="Aptos"/>
          <w:sz w:val="24"/>
          <w:szCs w:val="24"/>
        </w:rPr>
        <w:t xml:space="preserve">Heilmittelberufe werden weiter unattraktiv, der Fachkräftemangel verschärft sich.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rFonts w:ascii="Aptos" w:cs="Aptos" w:eastAsia="Aptos" w:hAnsi="Aptos"/>
          <w:sz w:val="24"/>
          <w:szCs w:val="24"/>
        </w:rPr>
        <w:t xml:space="preserve">Ohne Gehaltsanpassungen wandern weitere Therapeutinnen und Therapeuten ab.</w:t>
      </w:r>
    </w:p>
    <w:p>
      <w:pPr>
        <w:pStyle w:val="ListParagraph"/>
        <w:numPr>
          <w:ilvl w:val="0"/>
          <w:numId w:val="2"/>
        </w:numPr>
        <w:spacing w:after="80" w:line="300"/>
      </w:pPr>
      <w:r>
        <w:rPr>
          <w:rFonts w:ascii="Aptos" w:cs="Aptos" w:eastAsia="Aptos" w:hAnsi="Aptos"/>
          <w:sz w:val="24"/>
          <w:szCs w:val="24"/>
        </w:rPr>
        <w:t xml:space="preserve">Wartezeiten verlängern sich, Praxen schließen.</w:t>
      </w:r>
    </w:p>
    <w:p>
      <w:pPr>
        <w:spacing w:after="160"/>
      </w:pPr>
      <w:r>
        <w:rPr>
          <w:rFonts w:ascii="Aptos" w:cs="Aptos" w:eastAsia="Aptos" w:hAnsi="Aptos"/>
          <w:sz w:val="24"/>
          <w:szCs w:val="24"/>
        </w:rPr>
        <w:t xml:space="preserve"/>
      </w:r>
    </w:p>
    <w:p>
      <w:pPr>
        <w:spacing w:after="160" w:line="300"/>
      </w:pPr>
      <w:r>
        <w:rPr>
          <w:rFonts w:ascii="Aptos" w:cs="Aptos" w:eastAsia="Aptos" w:hAnsi="Aptos"/>
          <w:b/>
          <w:bCs/>
          <w:sz w:val="24"/>
          <w:szCs w:val="24"/>
        </w:rPr>
        <w:t xml:space="preserve">Kurzfristige Einsparungen verschieben nur Kosten:</w:t>
      </w:r>
      <w:r>
        <w:rPr>
          <w:rFonts w:ascii="Aptos" w:cs="Aptos" w:eastAsia="Aptos" w:hAnsi="Aptos"/>
          <w:sz w:val="24"/>
          <w:szCs w:val="24"/>
        </w:rPr>
        <w:t xml:space="preserve"> Kinder ohne rechtzeitige Therapie tragen Folgekosten in Bildung und Entwicklung. Erwachsene Patientinnen und Patienten verursachen vermehrte Pflege-, Reha- und Krankenhauskosten. Die demografische Entwicklung verschärft das Problem zusätzlich – das Ergebnis ist nicht weniger Bedarf, sondern weniger Versorgung.</w:t>
      </w:r>
    </w:p>
    <w:p>
      <w:pPr>
        <w:spacing w:after="160" w:line="300"/>
      </w:pPr>
      <w:r>
        <w:rPr>
          <w:rFonts w:ascii="Aptos" w:cs="Aptos" w:eastAsia="Aptos" w:hAnsi="Aptos"/>
          <w:sz w:val="24"/>
          <w:szCs w:val="24"/>
        </w:rPr>
        <w:t xml:space="preserve">Das Vorhaben ist kurzsichtig. Es wiederholt alte Fehler und erzeugt morgen neue Kosten zulasten des Gesamtsystems und der Betroffenen. Statt eines Deckels braucht es echte Reformen.</w:t>
      </w:r>
    </w:p>
    <w:p>
      <w:pPr>
        <w:spacing w:after="160" w:line="300"/>
      </w:pPr>
      <w:r>
        <w:rPr>
          <w:rFonts w:ascii="Aptos" w:cs="Aptos" w:eastAsia="Aptos" w:hAnsi="Aptos"/>
          <w:sz w:val="24"/>
          <w:szCs w:val="24"/>
        </w:rPr>
        <w:t xml:space="preserve">Ich bitte Sie dringend, sich gegen die Wiedereinführung der GLS-Bindung im Heilmittelbereich einzusetzen und stattdessen eine sachgerechte, kostenbasierte Vergütungssystematik zu erhalten.</w:t>
      </w:r>
    </w:p>
    <w:p>
      <w:pPr>
        <w:spacing w:after="160" w:line="300"/>
      </w:pPr>
      <w:r>
        <w:rPr>
          <w:rFonts w:ascii="Aptos" w:cs="Aptos" w:eastAsia="Aptos" w:hAnsi="Aptos"/>
          <w:sz w:val="24"/>
          <w:szCs w:val="24"/>
        </w:rPr>
        <w:t xml:space="preserve">Eine ausführliche Darstellung der Hintergründe und Zahlen wird bei Interesse gerne nachgereicht.</w:t>
      </w:r>
    </w:p>
    <w:p>
      <w:pPr>
        <w:spacing w:after="160"/>
      </w:pPr>
      <w:r>
        <w:rPr>
          <w:rFonts w:ascii="Aptos" w:cs="Aptos" w:eastAsia="Aptos" w:hAnsi="Aptos"/>
          <w:sz w:val="24"/>
          <w:szCs w:val="24"/>
        </w:rPr>
        <w:t xml:space="preserve"/>
      </w:r>
    </w:p>
    <w:p>
      <w:pPr>
        <w:spacing w:after="160" w:line="300"/>
      </w:pPr>
      <w:r>
        <w:rPr>
          <w:rFonts w:ascii="Aptos" w:cs="Aptos" w:eastAsia="Aptos" w:hAnsi="Aptos"/>
          <w:sz w:val="24"/>
          <w:szCs w:val="24"/>
        </w:rPr>
        <w:t xml:space="preserve">Mit freundlichen Grüßen</w:t>
      </w:r>
    </w:p>
    <w:p>
      <w:pPr>
        <w:spacing w:after="160" w:line="300"/>
      </w:pPr>
      <w:r>
        <w:rPr>
          <w:rFonts w:ascii="Aptos" w:cs="Aptos" w:eastAsia="Aptos" w:hAnsi="Aptos"/>
          <w:sz w:val="24"/>
          <w:szCs w:val="24"/>
        </w:rPr>
        <w:t xml:space="preserve">[Name]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cs="Aptos" w:eastAsia="Aptos" w:hAnsi="Aptos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2026-05-17T12:00:02.779Z</dcterms:created>
  <dcterms:modified xsi:type="dcterms:W3CDTF">2026-05-17T12:00:02.792Z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